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AB21C3" w:rsidRDefault="004A31C9" w:rsidP="00AB21C3">
      <w:pPr>
        <w:spacing w:after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AB21C3">
        <w:rPr>
          <w:rFonts w:asciiTheme="minorHAnsi" w:hAnsiTheme="minorHAnsi" w:cstheme="minorHAnsi"/>
          <w:b/>
          <w:bCs/>
        </w:rPr>
        <w:t xml:space="preserve">Budowa tężni solankowej przy Pijalni w Szczawie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773100">
        <w:rPr>
          <w:rFonts w:asciiTheme="minorHAnsi" w:hAnsiTheme="minorHAnsi" w:cstheme="minorHAnsi"/>
          <w:lang w:eastAsia="pl-PL"/>
        </w:rPr>
        <w:t>5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D9" w:rsidRDefault="00230ED9" w:rsidP="00A43866">
      <w:pPr>
        <w:spacing w:after="0" w:line="240" w:lineRule="auto"/>
      </w:pPr>
      <w:r>
        <w:separator/>
      </w:r>
    </w:p>
  </w:endnote>
  <w:endnote w:type="continuationSeparator" w:id="0">
    <w:p w:rsidR="00230ED9" w:rsidRDefault="00230ED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3100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D9" w:rsidRDefault="00230ED9" w:rsidP="00A43866">
      <w:pPr>
        <w:spacing w:after="0" w:line="240" w:lineRule="auto"/>
      </w:pPr>
      <w:r>
        <w:separator/>
      </w:r>
    </w:p>
  </w:footnote>
  <w:footnote w:type="continuationSeparator" w:id="0">
    <w:p w:rsidR="00230ED9" w:rsidRDefault="00230ED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0ED9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95C2E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73100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21C3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0A066-1D57-4D32-86FF-319D187E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2021-03-17T13:38:00Z</cp:lastPrinted>
  <dcterms:created xsi:type="dcterms:W3CDTF">2021-02-19T13:20:00Z</dcterms:created>
  <dcterms:modified xsi:type="dcterms:W3CDTF">2022-06-30T11:03:00Z</dcterms:modified>
</cp:coreProperties>
</file>