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354A1E1A" w14:textId="07678869" w:rsidR="00AE50D0" w:rsidRDefault="007834EF" w:rsidP="00A41DA0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A41DA0" w:rsidRPr="00A41DA0">
        <w:rPr>
          <w:rFonts w:asciiTheme="minorHAnsi" w:hAnsiTheme="minorHAnsi" w:cstheme="minorHAnsi"/>
          <w:b/>
          <w:bCs/>
        </w:rPr>
        <w:t>„Regulacja gospodarki wodno – ściekowej w Gminie Kamienica poprzez rozbudowę sieci wodociągowej i oczyszczalni ścieków”</w:t>
      </w: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74F65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1DA0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23</cp:revision>
  <cp:lastPrinted>2023-04-14T11:32:00Z</cp:lastPrinted>
  <dcterms:created xsi:type="dcterms:W3CDTF">2021-02-19T13:50:00Z</dcterms:created>
  <dcterms:modified xsi:type="dcterms:W3CDTF">2025-07-03T09:41:00Z</dcterms:modified>
</cp:coreProperties>
</file>